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8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411"/>
        <w:gridCol w:w="8"/>
        <w:gridCol w:w="3217"/>
        <w:gridCol w:w="2"/>
        <w:gridCol w:w="1539"/>
        <w:gridCol w:w="3"/>
        <w:gridCol w:w="1610"/>
        <w:gridCol w:w="24"/>
        <w:gridCol w:w="1202"/>
        <w:gridCol w:w="1242"/>
        <w:gridCol w:w="3"/>
        <w:gridCol w:w="1811"/>
        <w:gridCol w:w="1135"/>
        <w:gridCol w:w="863"/>
        <w:gridCol w:w="215"/>
        <w:gridCol w:w="959"/>
      </w:tblGrid>
      <w:tr>
        <w:trPr>
          <w:trHeight w:val="1590" w:hRule="atLeas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</w:t>
            </w:r>
          </w:p>
        </w:tc>
      </w:tr>
      <w:tr>
        <w:trPr>
          <w:trHeight w:val="325" w:hRule="atLeast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11487369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Стол криволинейный правый </w:t>
            </w:r>
          </w:p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Размер (Ш*Г*В)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1604х904(704)х756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rFonts w:eastAsia="Times New Roman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 течении 5 (пяти) календарных дней с даты заключения договора</w:t>
            </w: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164 766,68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11.07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.2022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Офис и Стиль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155 500,00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6200,00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Стол криволинейный левый </w:t>
            </w:r>
          </w:p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Размер (Ш*Г*В)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1604х904(704)х756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Тумба приставная</w:t>
            </w:r>
          </w:p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Размер</w:t>
            </w: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 (Ш*Г*В)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456х704х756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Шкаф высокий закрытый</w:t>
            </w:r>
          </w:p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 (Ш*Г*В)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744х390х2046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Стол рабочий</w:t>
            </w:r>
          </w:p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 (Ш*Г*В)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1404х604х756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29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Стол рабочий </w:t>
            </w:r>
          </w:p>
          <w:p>
            <w:pPr>
              <w:pStyle w:val="ConsPlusNormal"/>
              <w:widowControl w:val="false"/>
              <w:snapToGrid w:val="false"/>
              <w:spacing w:before="0" w:after="29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Размер</w:t>
            </w: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 (Ш*Г*В)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1204х604х756мм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Тумба приставная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Размер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 (Ш*Г*В)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406х456х756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Тумба подкатная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Размер</w:t>
            </w: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 (Ш*Г*В)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406х518х534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bookmarkStart w:id="1" w:name="_GoBack1"/>
            <w:bookmarkEnd w:id="1"/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Шкаф высокий полузакрытый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Размер</w:t>
            </w: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 (Ш*Г*В)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744х390х2046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Диван</w:t>
            </w:r>
          </w:p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 (Д*Ш*В)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1400х685х700мм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18 000,00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Стол палатный  </w:t>
            </w:r>
          </w:p>
          <w:p>
            <w:pPr>
              <w:pStyle w:val="ConsPlusNormal"/>
              <w:widowControl w:val="false"/>
              <w:snapToGrid w:val="false"/>
              <w:spacing w:before="0" w:after="0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(В*Ш*Г) </w:t>
            </w:r>
            <w:r>
              <w:rPr>
                <w:rFonts w:ascii="Times New Roman" w:hAnsi="Times New Roman"/>
                <w:sz w:val="18"/>
                <w:szCs w:val="18"/>
              </w:rPr>
              <w:t>750х850х750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32211487675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Клозапин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eastAsia="Times New Roman" w:ascii="Times New Roman" w:hAnsi="Times New Roman"/>
                <w:i w:val="false"/>
                <w:iCs w:val="false"/>
                <w:color w:val="000000"/>
                <w:sz w:val="18"/>
                <w:szCs w:val="18"/>
                <w:lang w:eastAsia="ar-SA"/>
              </w:rPr>
              <w:t xml:space="preserve"> течение 20 (двадцати) рабочих дней с даты заключения договора</w:t>
            </w: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1 281 420,00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60" w:after="6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Кировское областное государственное унитарное предприятие «Аптечный склад»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1 267 860,00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1 970,00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2022</w:t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Бензобарбитал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300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700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86,80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Этанол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30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Хлорпромазин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уп. 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Тофизопам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760,00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Галоперидол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450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35,20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Зуклопентиксол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30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1 920,00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Тиоридазин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448,00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Ацетилсалициловая кислота+Магния гидроксид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120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Лозартан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уп. 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Метопролол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уп. 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28,60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Эналаприл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41,70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Парацетамол+Хлорфенамин+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Аскорбиновая кислота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460,00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Декспантенол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Диклофенак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Натрия хлорид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60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Троксерутин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Ацетазоламид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400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780,00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Поливитамины+Минералы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30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305,00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Глутаминовая кислота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Калия аспарагинат+Магния аспарагинат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250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Тобрамицин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112,00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Бисопролол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97,00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Периндоприл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480,00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Таурин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49,91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Аторвастатин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Галоперидол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Диоксометилтетрагидропиримидин+Хлорамфеникол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200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91,00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Гидрокортизон+Окситетрациклин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200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Бриллиантовый зеленый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100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88,40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Флуоцинолона ацетонид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200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Бетаметазон+Гентамицин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 xml:space="preserve">30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615,03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32211510432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Бумага для офисной техники «Снегурочка» марка «С»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195 упак.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тридцати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ar-SA"/>
              </w:rPr>
              <w:t>) календарных дней с даты заключения договора</w:t>
            </w:r>
          </w:p>
        </w:tc>
        <w:tc>
          <w:tcPr>
            <w:tcW w:w="1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74 100,00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Общество с ограниченной ответственностью «Академия чистоты плюс»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65 325,00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335,00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2022</w:t>
            </w:r>
          </w:p>
        </w:tc>
      </w:tr>
      <w:tr>
        <w:trPr>
          <w:trHeight w:val="325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32211522479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50" w:leader="none"/>
                <w:tab w:val="left" w:pos="567" w:leader="none"/>
                <w:tab w:val="left" w:pos="1134" w:leader="none"/>
              </w:tabs>
              <w:suppressAutoHyphens w:val="true"/>
              <w:overflowPunct w:val="false"/>
              <w:snapToGrid w:val="false"/>
              <w:spacing w:lineRule="auto" w:line="240" w:before="0" w:after="0"/>
              <w:ind w:left="142" w:hanging="0"/>
              <w:jc w:val="both"/>
              <w:textAlignment w:val="baseline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eastAsia="Times New Roman" w:ascii="Times New Roman" w:hAnsi="Times New Roman"/>
                <w:sz w:val="20"/>
                <w:szCs w:val="20"/>
                <w:lang w:val="x-none"/>
              </w:rPr>
              <w:t xml:space="preserve">ыполнение работ </w:t>
            </w:r>
            <w:r>
              <w:rPr>
                <w:rFonts w:ascii="Times New Roman" w:hAnsi="Times New Roman"/>
                <w:sz w:val="20"/>
                <w:szCs w:val="20"/>
              </w:rPr>
              <w:t>по  текущему  ремонту  помещения бани, расположенной по адресу: Кировская область, Белохолуницкий район, п. Климковка, ул. Коммуны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en-US"/>
              </w:rPr>
              <w:t>1 усл.ед.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Все обусловленные настоящим договором работы должны быть выполнены Подрядчиком и сданы Заказчику в течение 30 (тридцати) календарных дней со дня заключения договора, в соответствии с утвержденным Сторонами графиком выполнения работ (согласовывается сторонами после заключения настоящего договора).</w:t>
            </w:r>
          </w:p>
        </w:tc>
        <w:tc>
          <w:tcPr>
            <w:tcW w:w="1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221 648,17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Общество с ограниченной ответсвенностью «Дом Вашей Мечты»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221 648,17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en-US"/>
              </w:rPr>
              <w:t>221 648,17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2022</w:t>
            </w:r>
          </w:p>
        </w:tc>
      </w:tr>
      <w:tr>
        <w:trPr>
          <w:trHeight w:val="325" w:hRule="atLeast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32211523656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- оториноларинголога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false"/>
              <w:bidi w:val="0"/>
              <w:spacing w:lineRule="auto" w:line="240" w:before="0" w:after="0"/>
              <w:ind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течении 30 (тридцать) календарных дней с даты заключения договора</w:t>
            </w: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910 048,30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22.07.20225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bidi w:val="0"/>
              <w:snapToGrid w:val="false"/>
              <w:spacing w:lineRule="auto" w:line="252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en-US"/>
              </w:rPr>
              <w:t>Общество с ограниченной ответственностью «Центр семейной медицины «ЛадаМед»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311 450,00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2022</w:t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– терапевта -профпатолога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- стоматолога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- гинеколога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- дерматовенеролога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- нарколога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- психиатра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– невролога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– хирурга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Осмотр врача - офтальмолога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Электрокардиография сердца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Клиническое исследование мазка 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Цитологическое исследование мазка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Анализ кала на яйца глист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Исследование уровня сахара в крови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Исследование уровня холестерина  в крови 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Общий анализ мочи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Общий анализ крови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Анализ крови на сифилис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Анализ крови на Вич 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антител к гепатиту С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антител к гепатиту В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Спирометрия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Аудиометрия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Исследование молочных желез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УЗИ органов малого таза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Измерение внутриглазного давления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ЭЭГ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5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Психиатрическое освидетельствование 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ind w:hanging="0"/>
              <w:jc w:val="both"/>
              <w:rPr>
                <w:b/>
                <w:b/>
                <w:bCs/>
                <w:color w:val="000000"/>
                <w:sz w:val="22"/>
                <w:szCs w:val="22"/>
                <w:highlight w:val="dark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darkYellow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765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июль </w:t>
    </w:r>
    <w:r>
      <w:rPr>
        <w:rFonts w:cs="Times New Roman" w:ascii="Times New Roman" w:hAnsi="Times New Roman"/>
        <w:sz w:val="24"/>
        <w:szCs w:val="24"/>
      </w:rPr>
      <w:t>2022 г.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5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LibreOffice/7.3.2.2$Windows_X86_64 LibreOffice_project/49f2b1bff42cfccbd8f788c8dc32c1c309559be0</Application>
  <AppVersion>15.0000</AppVersion>
  <Pages>6</Pages>
  <Words>746</Words>
  <Characters>4660</Characters>
  <CharactersWithSpaces>5139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2022-08-19T14:33:45Z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